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3</w:t>
      </w:r>
    </w:p>
    <w:p>
      <w:pPr>
        <w:rPr>
          <w:rFonts w:ascii="黑体" w:hAnsi="黑体" w:eastAsia="黑体"/>
          <w:sz w:val="52"/>
          <w:szCs w:val="52"/>
        </w:rPr>
      </w:pPr>
    </w:p>
    <w:p>
      <w:pPr>
        <w:jc w:val="center"/>
        <w:rPr>
          <w:rFonts w:hint="eastAsia" w:ascii="黑体" w:hAnsi="黑体" w:eastAsia="黑体"/>
          <w:sz w:val="48"/>
          <w:szCs w:val="48"/>
          <w:lang w:val="en-US" w:eastAsia="zh-CN"/>
        </w:rPr>
      </w:pPr>
      <w:r>
        <w:rPr>
          <w:rFonts w:hint="eastAsia" w:ascii="黑体" w:hAnsi="黑体" w:eastAsia="黑体"/>
          <w:sz w:val="48"/>
          <w:szCs w:val="48"/>
          <w:lang w:val="en-US" w:eastAsia="zh-CN"/>
        </w:rPr>
        <w:t>纤维鼻咽喉镜和</w:t>
      </w:r>
    </w:p>
    <w:p>
      <w:pPr>
        <w:jc w:val="center"/>
        <w:rPr>
          <w:rFonts w:ascii="黑体" w:hAnsi="黑体" w:eastAsia="黑体"/>
          <w:sz w:val="48"/>
          <w:szCs w:val="48"/>
        </w:rPr>
      </w:pPr>
      <w:r>
        <w:rPr>
          <w:rFonts w:hint="eastAsia" w:ascii="黑体" w:hAnsi="黑体" w:eastAsia="黑体"/>
          <w:sz w:val="48"/>
          <w:szCs w:val="48"/>
          <w:lang w:val="en-US" w:eastAsia="zh-CN"/>
        </w:rPr>
        <w:t>医用内窥镜摄像系统</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纤维鼻咽喉镜和医用内窥镜摄像系统各一套</w:t>
      </w:r>
      <w:r>
        <w:rPr>
          <w:rFonts w:hint="eastAsia" w:ascii="仿宋" w:hAnsi="仿宋" w:eastAsia="仿宋" w:cs="宋体"/>
          <w:sz w:val="24"/>
        </w:rPr>
        <w:t>，用于仁寿县</w:t>
      </w:r>
      <w:r>
        <w:rPr>
          <w:rFonts w:hint="eastAsia" w:ascii="仿宋" w:hAnsi="仿宋" w:eastAsia="仿宋" w:cs="宋体"/>
          <w:sz w:val="24"/>
          <w:lang w:val="en-US" w:eastAsia="zh-CN"/>
        </w:rPr>
        <w:t>人民医院</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供应商可选择其中一个或者多个设备报价。</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3</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bCs/>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纤维鼻咽喉镜</w:t>
      </w:r>
      <w:r>
        <w:rPr>
          <w:rFonts w:hint="eastAsia" w:ascii="仿宋" w:hAnsi="仿宋" w:eastAsia="仿宋" w:cs="宋体"/>
          <w:b/>
          <w:bCs/>
          <w:sz w:val="24"/>
          <w:lang w:val="en-US" w:eastAsia="zh-CN"/>
        </w:rPr>
        <w:t>和医用内窥镜摄像系统采购项目</w:t>
      </w:r>
      <w:r>
        <w:rPr>
          <w:rFonts w:hint="eastAsia" w:ascii="仿宋" w:hAnsi="仿宋" w:eastAsia="仿宋"/>
          <w:b/>
          <w:bCs/>
          <w:sz w:val="24"/>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3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628"/>
        <w:gridCol w:w="675"/>
        <w:gridCol w:w="2209"/>
        <w:gridCol w:w="2209"/>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2"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829"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343"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124" w:type="pct"/>
            <w:vAlign w:val="center"/>
          </w:tcPr>
          <w:p>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型号</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生产厂家</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52"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829"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纤维鼻咽喉镜</w:t>
            </w:r>
          </w:p>
        </w:tc>
        <w:tc>
          <w:tcPr>
            <w:tcW w:w="343"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1套</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default" w:ascii="仿宋" w:hAnsi="仿宋" w:eastAsia="仿宋" w:cs="仿宋"/>
                <w:bCs/>
                <w:szCs w:val="21"/>
                <w:lang w:val="en-US" w:eastAsia="zh-CN"/>
              </w:rPr>
              <w:t>OIF-ET66</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上海欧太</w:t>
            </w:r>
          </w:p>
        </w:tc>
        <w:tc>
          <w:tcPr>
            <w:tcW w:w="1124" w:type="pct"/>
            <w:vAlign w:val="center"/>
          </w:tcPr>
          <w:p>
            <w:pPr>
              <w:spacing w:line="400" w:lineRule="exact"/>
              <w:jc w:val="center"/>
              <w:rPr>
                <w:rFonts w:hint="default" w:ascii="仿宋" w:hAnsi="仿宋" w:eastAsia="仿宋" w:cs="仿宋"/>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52"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02-01</w:t>
            </w:r>
          </w:p>
        </w:tc>
        <w:tc>
          <w:tcPr>
            <w:tcW w:w="829"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医用内窥镜摄像系统</w:t>
            </w:r>
          </w:p>
        </w:tc>
        <w:tc>
          <w:tcPr>
            <w:tcW w:w="343"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1套</w:t>
            </w:r>
          </w:p>
        </w:tc>
        <w:tc>
          <w:tcPr>
            <w:tcW w:w="1124"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lang w:val="en-US" w:eastAsia="zh-CN"/>
              </w:rPr>
              <w:t>OM-922HDA</w:t>
            </w:r>
          </w:p>
        </w:tc>
        <w:tc>
          <w:tcPr>
            <w:tcW w:w="112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江苏欧曼</w:t>
            </w:r>
          </w:p>
        </w:tc>
        <w:tc>
          <w:tcPr>
            <w:tcW w:w="1124" w:type="pct"/>
            <w:vAlign w:val="center"/>
          </w:tcPr>
          <w:p>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冷光源：OM-826A</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480"/>
        <w:rPr>
          <w:rFonts w:ascii="仿宋" w:hAnsi="仿宋" w:eastAsia="仿宋" w:cs="宋体"/>
          <w:sz w:val="24"/>
        </w:rPr>
      </w:pPr>
      <w:r>
        <w:rPr>
          <w:rFonts w:hint="eastAsia" w:ascii="仿宋" w:hAnsi="仿宋" w:eastAsia="仿宋" w:cs="宋体"/>
          <w:sz w:val="24"/>
        </w:rPr>
        <w:t>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4</w:t>
      </w:r>
      <w:r>
        <w:rPr>
          <w:rFonts w:hint="eastAsia" w:ascii="仿宋" w:hAnsi="仿宋" w:eastAsia="仿宋"/>
          <w:sz w:val="24"/>
        </w:rPr>
        <w:t>月</w:t>
      </w:r>
      <w:r>
        <w:rPr>
          <w:rFonts w:hint="eastAsia" w:ascii="仿宋" w:hAnsi="仿宋" w:eastAsia="仿宋"/>
          <w:sz w:val="24"/>
          <w:lang w:val="en-US" w:eastAsia="zh-CN"/>
        </w:rPr>
        <w:t>10</w:t>
      </w:r>
      <w:r>
        <w:rPr>
          <w:rFonts w:hint="eastAsia" w:ascii="仿宋" w:hAnsi="仿宋" w:eastAsia="仿宋"/>
          <w:sz w:val="24"/>
        </w:rPr>
        <w:t>日12:00</w:t>
      </w:r>
      <w:r>
        <w:rPr>
          <w:rFonts w:hint="eastAsia" w:ascii="仿宋" w:hAnsi="仿宋" w:eastAsia="仿宋"/>
          <w:sz w:val="24"/>
          <w:szCs w:val="28"/>
        </w:rPr>
        <w:t>（北京时间）。</w:t>
      </w:r>
      <w:bookmarkStart w:id="34" w:name="_GoBack"/>
      <w:bookmarkEnd w:id="34"/>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人：代老师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496267"/>
      <w:bookmarkStart w:id="14" w:name="_Toc217446031"/>
      <w:bookmarkStart w:id="15" w:name="_Toc213396759"/>
      <w:bookmarkStart w:id="16" w:name="_Toc213397009"/>
      <w:bookmarkStart w:id="17" w:name="_Toc213396945"/>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安装验收合格后</w:t>
            </w:r>
            <w:r>
              <w:rPr>
                <w:rFonts w:hint="eastAsia" w:ascii="仿宋" w:hAnsi="仿宋" w:eastAsia="仿宋"/>
                <w:szCs w:val="21"/>
              </w:rPr>
              <w:t>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Pr>
        <w:rPr>
          <w:rFonts w:hint="eastAsia"/>
        </w:rPr>
      </w:pPr>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10</w:t>
      </w:r>
      <w:r>
        <w:rPr>
          <w:rFonts w:hint="eastAsia" w:ascii="仿宋" w:hAnsi="仿宋" w:eastAsia="仿宋"/>
          <w:bCs/>
          <w:sz w:val="24"/>
        </w:rPr>
        <w:t>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w:t>
      </w:r>
      <w:r>
        <w:rPr>
          <w:rFonts w:hint="eastAsia" w:ascii="仿宋" w:hAnsi="仿宋" w:eastAsia="仿宋"/>
          <w:szCs w:val="21"/>
          <w:lang w:val="en-US" w:eastAsia="zh-CN"/>
        </w:rPr>
        <w:t>签订合同后10</w:t>
      </w:r>
      <w:r>
        <w:rPr>
          <w:rFonts w:hint="eastAsia" w:ascii="仿宋" w:hAnsi="仿宋" w:eastAsia="仿宋"/>
          <w:szCs w:val="21"/>
        </w:rPr>
        <w:t>天内支付100%货款</w:t>
      </w:r>
      <w:r>
        <w:rPr>
          <w:rFonts w:hint="eastAsia" w:ascii="仿宋" w:hAnsi="仿宋" w:eastAsia="仿宋"/>
          <w:bCs/>
          <w:sz w:val="24"/>
        </w:rPr>
        <w:t>，乙方</w:t>
      </w:r>
      <w:r>
        <w:rPr>
          <w:rFonts w:hint="eastAsia" w:ascii="仿宋" w:hAnsi="仿宋" w:eastAsia="仿宋"/>
          <w:bCs/>
          <w:sz w:val="24"/>
          <w:lang w:val="en-US" w:eastAsia="zh-CN"/>
        </w:rPr>
        <w:t>30日内</w:t>
      </w:r>
      <w:r>
        <w:rPr>
          <w:rFonts w:hint="eastAsia" w:ascii="仿宋" w:hAnsi="仿宋" w:eastAsia="仿宋"/>
          <w:bCs/>
          <w:sz w:val="24"/>
        </w:rPr>
        <w:t>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ind w:firstLine="600" w:firstLineChars="250"/>
        <w:rPr>
          <w:rFonts w:hint="eastAsia" w:ascii="仿宋" w:hAnsi="仿宋" w:eastAsia="仿宋" w:cs="宋体"/>
          <w:sz w:val="24"/>
          <w:lang w:val="en-US" w:eastAsia="zh-CN"/>
        </w:rPr>
      </w:pPr>
      <w:r>
        <w:rPr>
          <w:rFonts w:hint="eastAsia" w:ascii="仿宋" w:hAnsi="仿宋" w:eastAsia="仿宋"/>
          <w:sz w:val="24"/>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r>
        <w:rPr>
          <w:rFonts w:hint="eastAsia" w:ascii="仿宋" w:hAnsi="仿宋" w:eastAsia="仿宋" w:cs="宋体"/>
          <w:sz w:val="24"/>
          <w:lang w:eastAsia="zh-CN"/>
        </w:rPr>
        <w:t>（</w:t>
      </w:r>
      <w:r>
        <w:rPr>
          <w:rFonts w:hint="eastAsia" w:ascii="仿宋" w:hAnsi="仿宋" w:eastAsia="仿宋" w:cs="宋体"/>
          <w:sz w:val="24"/>
          <w:lang w:val="en-US" w:eastAsia="zh-CN"/>
        </w:rPr>
        <w:t>中标后签订合同前提供</w:t>
      </w:r>
      <w:r>
        <w:rPr>
          <w:rFonts w:hint="eastAsia" w:ascii="仿宋" w:hAnsi="仿宋" w:eastAsia="仿宋" w:cs="宋体"/>
          <w:sz w:val="24"/>
          <w:lang w:eastAsia="zh-CN"/>
        </w:rPr>
        <w:t>）</w:t>
      </w:r>
    </w:p>
    <w:p>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pPr>
        <w:widowControl/>
        <w:spacing w:line="360" w:lineRule="atLeast"/>
        <w:jc w:val="left"/>
        <w:rPr>
          <w:rFonts w:hint="default" w:ascii="仿宋" w:hAnsi="仿宋" w:eastAsia="仿宋"/>
          <w:sz w:val="21"/>
          <w:szCs w:val="21"/>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A532A"/>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7E6BC3"/>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43417F"/>
    <w:rsid w:val="11C22947"/>
    <w:rsid w:val="11C96F3F"/>
    <w:rsid w:val="12DE4E25"/>
    <w:rsid w:val="1308440F"/>
    <w:rsid w:val="13404493"/>
    <w:rsid w:val="135607B7"/>
    <w:rsid w:val="13A4001D"/>
    <w:rsid w:val="13B6593C"/>
    <w:rsid w:val="13BB5EEE"/>
    <w:rsid w:val="14537884"/>
    <w:rsid w:val="14593BBF"/>
    <w:rsid w:val="14B12531"/>
    <w:rsid w:val="14B538EB"/>
    <w:rsid w:val="14D53CC1"/>
    <w:rsid w:val="14D56C28"/>
    <w:rsid w:val="151C338A"/>
    <w:rsid w:val="1565002B"/>
    <w:rsid w:val="15E45DCF"/>
    <w:rsid w:val="164973BC"/>
    <w:rsid w:val="16D229E9"/>
    <w:rsid w:val="173D66F2"/>
    <w:rsid w:val="17430389"/>
    <w:rsid w:val="175C0959"/>
    <w:rsid w:val="17743C03"/>
    <w:rsid w:val="177941D0"/>
    <w:rsid w:val="17DC532F"/>
    <w:rsid w:val="17EF566D"/>
    <w:rsid w:val="18604374"/>
    <w:rsid w:val="18800267"/>
    <w:rsid w:val="19201D08"/>
    <w:rsid w:val="194B373A"/>
    <w:rsid w:val="19731B79"/>
    <w:rsid w:val="198122A9"/>
    <w:rsid w:val="1A024AC4"/>
    <w:rsid w:val="1AA57B5F"/>
    <w:rsid w:val="1B260840"/>
    <w:rsid w:val="1B304E3C"/>
    <w:rsid w:val="1B8E24F5"/>
    <w:rsid w:val="1BDB2B53"/>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2F479FD"/>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4B1EB7"/>
    <w:rsid w:val="2D6405B3"/>
    <w:rsid w:val="2DAA40C0"/>
    <w:rsid w:val="2DD32383"/>
    <w:rsid w:val="2DE50909"/>
    <w:rsid w:val="2E0E6AED"/>
    <w:rsid w:val="2E917FC7"/>
    <w:rsid w:val="2EA20CC8"/>
    <w:rsid w:val="2EB1759E"/>
    <w:rsid w:val="2EE72320"/>
    <w:rsid w:val="2EE8455C"/>
    <w:rsid w:val="2F590507"/>
    <w:rsid w:val="2F7B047E"/>
    <w:rsid w:val="2FC414F3"/>
    <w:rsid w:val="2FE60929"/>
    <w:rsid w:val="2FF058D0"/>
    <w:rsid w:val="30D70117"/>
    <w:rsid w:val="30E42F09"/>
    <w:rsid w:val="31274B61"/>
    <w:rsid w:val="314B29C9"/>
    <w:rsid w:val="31922776"/>
    <w:rsid w:val="31B441AF"/>
    <w:rsid w:val="32A81084"/>
    <w:rsid w:val="32D70991"/>
    <w:rsid w:val="32E2005E"/>
    <w:rsid w:val="33B2679E"/>
    <w:rsid w:val="33DC14FA"/>
    <w:rsid w:val="342A14CE"/>
    <w:rsid w:val="34F34C56"/>
    <w:rsid w:val="357339A5"/>
    <w:rsid w:val="357A5788"/>
    <w:rsid w:val="360308BC"/>
    <w:rsid w:val="36147632"/>
    <w:rsid w:val="36530971"/>
    <w:rsid w:val="36561BAE"/>
    <w:rsid w:val="36610C56"/>
    <w:rsid w:val="366B24CA"/>
    <w:rsid w:val="36A125F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5E701C3"/>
    <w:rsid w:val="46024FFD"/>
    <w:rsid w:val="466F5A98"/>
    <w:rsid w:val="46886E13"/>
    <w:rsid w:val="46C1077C"/>
    <w:rsid w:val="46CE0949"/>
    <w:rsid w:val="476756F9"/>
    <w:rsid w:val="47756B56"/>
    <w:rsid w:val="478F3EA7"/>
    <w:rsid w:val="47AD3F78"/>
    <w:rsid w:val="482B5C12"/>
    <w:rsid w:val="484713ED"/>
    <w:rsid w:val="490948F4"/>
    <w:rsid w:val="492C3528"/>
    <w:rsid w:val="49B4651F"/>
    <w:rsid w:val="49D066E0"/>
    <w:rsid w:val="49D639C4"/>
    <w:rsid w:val="49E329B9"/>
    <w:rsid w:val="49F40639"/>
    <w:rsid w:val="4A9C1DE8"/>
    <w:rsid w:val="4AED1B3A"/>
    <w:rsid w:val="4CE6400E"/>
    <w:rsid w:val="4CF906E8"/>
    <w:rsid w:val="4D1A1276"/>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531153"/>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8E3E0B"/>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D1070A"/>
    <w:rsid w:val="60F002A8"/>
    <w:rsid w:val="610B183C"/>
    <w:rsid w:val="61572249"/>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A2087C"/>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autoRedefine/>
    <w:qFormat/>
    <w:uiPriority w:val="0"/>
    <w:pPr>
      <w:ind w:left="2520" w:leftChars="1200"/>
    </w:pPr>
  </w:style>
  <w:style w:type="paragraph" w:styleId="6">
    <w:name w:val="Normal Indent"/>
    <w:basedOn w:val="1"/>
    <w:autoRedefine/>
    <w:qFormat/>
    <w:uiPriority w:val="0"/>
    <w:pPr>
      <w:ind w:firstLine="200" w:firstLineChars="200"/>
    </w:pPr>
  </w:style>
  <w:style w:type="paragraph" w:styleId="7">
    <w:name w:val="Document Map"/>
    <w:basedOn w:val="1"/>
    <w:link w:val="34"/>
    <w:autoRedefine/>
    <w:qFormat/>
    <w:uiPriority w:val="0"/>
    <w:rPr>
      <w:rFonts w:ascii="宋体"/>
      <w:sz w:val="18"/>
      <w:szCs w:val="18"/>
    </w:rPr>
  </w:style>
  <w:style w:type="paragraph" w:styleId="8">
    <w:name w:val="annotation text"/>
    <w:basedOn w:val="1"/>
    <w:link w:val="32"/>
    <w:autoRedefine/>
    <w:qFormat/>
    <w:uiPriority w:val="0"/>
    <w:pPr>
      <w:jc w:val="left"/>
    </w:pPr>
  </w:style>
  <w:style w:type="paragraph" w:styleId="9">
    <w:name w:val="Body Text"/>
    <w:basedOn w:val="1"/>
    <w:link w:val="52"/>
    <w:autoRedefine/>
    <w:semiHidden/>
    <w:unhideWhenUsed/>
    <w:qFormat/>
    <w:uiPriority w:val="0"/>
    <w:pPr>
      <w:spacing w:after="120"/>
    </w:pPr>
  </w:style>
  <w:style w:type="paragraph" w:styleId="10">
    <w:name w:val="Body Text Indent"/>
    <w:basedOn w:val="1"/>
    <w:autoRedefine/>
    <w:qFormat/>
    <w:uiPriority w:val="0"/>
    <w:pPr>
      <w:ind w:firstLine="630"/>
    </w:pPr>
    <w:rPr>
      <w:sz w:val="32"/>
      <w:szCs w:val="20"/>
    </w:rPr>
  </w:style>
  <w:style w:type="paragraph" w:styleId="11">
    <w:name w:val="toc 5"/>
    <w:basedOn w:val="1"/>
    <w:next w:val="1"/>
    <w:autoRedefine/>
    <w:qFormat/>
    <w:uiPriority w:val="0"/>
    <w:pPr>
      <w:ind w:left="1680" w:leftChars="800"/>
    </w:pPr>
  </w:style>
  <w:style w:type="paragraph" w:styleId="12">
    <w:name w:val="toc 3"/>
    <w:basedOn w:val="1"/>
    <w:next w:val="1"/>
    <w:autoRedefine/>
    <w:qFormat/>
    <w:uiPriority w:val="0"/>
    <w:pPr>
      <w:ind w:left="840" w:leftChars="400"/>
    </w:pPr>
  </w:style>
  <w:style w:type="paragraph" w:styleId="13">
    <w:name w:val="toc 8"/>
    <w:basedOn w:val="1"/>
    <w:next w:val="1"/>
    <w:autoRedefine/>
    <w:qFormat/>
    <w:uiPriority w:val="0"/>
    <w:pPr>
      <w:ind w:left="2940" w:leftChars="1400"/>
    </w:pPr>
  </w:style>
  <w:style w:type="paragraph" w:styleId="14">
    <w:name w:val="Balloon Text"/>
    <w:basedOn w:val="1"/>
    <w:link w:val="31"/>
    <w:autoRedefine/>
    <w:qFormat/>
    <w:uiPriority w:val="0"/>
    <w:rPr>
      <w:sz w:val="18"/>
      <w:szCs w:val="18"/>
    </w:rPr>
  </w:style>
  <w:style w:type="paragraph" w:styleId="15">
    <w:name w:val="footer"/>
    <w:basedOn w:val="1"/>
    <w:link w:val="46"/>
    <w:autoRedefine/>
    <w:qFormat/>
    <w:uiPriority w:val="99"/>
    <w:pPr>
      <w:tabs>
        <w:tab w:val="center" w:pos="4153"/>
        <w:tab w:val="right" w:pos="8306"/>
      </w:tabs>
      <w:snapToGrid w:val="0"/>
      <w:jc w:val="left"/>
    </w:pPr>
    <w:rPr>
      <w:sz w:val="18"/>
      <w:szCs w:val="20"/>
    </w:rPr>
  </w:style>
  <w:style w:type="paragraph" w:styleId="16">
    <w:name w:val="header"/>
    <w:basedOn w:val="1"/>
    <w:link w:val="55"/>
    <w:autoRedefine/>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39"/>
  </w:style>
  <w:style w:type="paragraph" w:styleId="18">
    <w:name w:val="toc 4"/>
    <w:basedOn w:val="1"/>
    <w:next w:val="1"/>
    <w:autoRedefine/>
    <w:qFormat/>
    <w:uiPriority w:val="0"/>
    <w:pPr>
      <w:ind w:left="1260" w:leftChars="600"/>
    </w:pPr>
  </w:style>
  <w:style w:type="paragraph" w:styleId="19">
    <w:name w:val="toc 6"/>
    <w:basedOn w:val="1"/>
    <w:next w:val="1"/>
    <w:autoRedefine/>
    <w:qFormat/>
    <w:uiPriority w:val="0"/>
    <w:pPr>
      <w:ind w:left="2100" w:leftChars="1000"/>
    </w:pPr>
  </w:style>
  <w:style w:type="paragraph" w:styleId="20">
    <w:name w:val="toc 2"/>
    <w:basedOn w:val="1"/>
    <w:next w:val="1"/>
    <w:autoRedefine/>
    <w:qFormat/>
    <w:uiPriority w:val="0"/>
    <w:pPr>
      <w:ind w:left="420" w:leftChars="200"/>
    </w:pPr>
  </w:style>
  <w:style w:type="paragraph" w:styleId="21">
    <w:name w:val="toc 9"/>
    <w:basedOn w:val="1"/>
    <w:next w:val="1"/>
    <w:autoRedefine/>
    <w:qFormat/>
    <w:uiPriority w:val="0"/>
    <w:pPr>
      <w:ind w:left="3360" w:leftChars="1600"/>
    </w:pPr>
  </w:style>
  <w:style w:type="paragraph" w:styleId="22">
    <w:name w:val="Normal (Web)"/>
    <w:basedOn w:val="1"/>
    <w:autoRedefine/>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autoRedefine/>
    <w:qFormat/>
    <w:uiPriority w:val="0"/>
    <w:rPr>
      <w:b/>
      <w:bCs/>
    </w:r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autoRedefine/>
    <w:qFormat/>
    <w:uiPriority w:val="0"/>
  </w:style>
  <w:style w:type="character" w:styleId="28">
    <w:name w:val="FollowedHyperlink"/>
    <w:basedOn w:val="26"/>
    <w:autoRedefine/>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autoRedefine/>
    <w:unhideWhenUsed/>
    <w:qFormat/>
    <w:uiPriority w:val="99"/>
    <w:rPr>
      <w:color w:val="0563C1" w:themeColor="hyperlink"/>
      <w:u w:val="single"/>
      <w14:textFill>
        <w14:solidFill>
          <w14:schemeClr w14:val="hlink"/>
        </w14:solidFill>
      </w14:textFill>
    </w:rPr>
  </w:style>
  <w:style w:type="character" w:styleId="30">
    <w:name w:val="annotation reference"/>
    <w:autoRedefine/>
    <w:qFormat/>
    <w:uiPriority w:val="99"/>
    <w:rPr>
      <w:sz w:val="21"/>
      <w:szCs w:val="21"/>
    </w:rPr>
  </w:style>
  <w:style w:type="character" w:customStyle="1" w:styleId="31">
    <w:name w:val="批注框文本 字符"/>
    <w:link w:val="14"/>
    <w:autoRedefine/>
    <w:qFormat/>
    <w:uiPriority w:val="0"/>
    <w:rPr>
      <w:kern w:val="2"/>
      <w:sz w:val="18"/>
      <w:szCs w:val="18"/>
    </w:rPr>
  </w:style>
  <w:style w:type="character" w:customStyle="1" w:styleId="32">
    <w:name w:val="批注文字 字符"/>
    <w:link w:val="8"/>
    <w:autoRedefine/>
    <w:qFormat/>
    <w:uiPriority w:val="0"/>
    <w:rPr>
      <w:kern w:val="2"/>
      <w:sz w:val="21"/>
      <w:szCs w:val="24"/>
    </w:rPr>
  </w:style>
  <w:style w:type="character" w:customStyle="1" w:styleId="33">
    <w:name w:val="font91"/>
    <w:autoRedefine/>
    <w:qFormat/>
    <w:uiPriority w:val="0"/>
    <w:rPr>
      <w:rFonts w:hint="eastAsia" w:ascii="宋体" w:hAnsi="宋体" w:eastAsia="宋体" w:cs="宋体"/>
      <w:color w:val="FF0000"/>
      <w:sz w:val="21"/>
      <w:szCs w:val="21"/>
      <w:u w:val="single"/>
    </w:rPr>
  </w:style>
  <w:style w:type="character" w:customStyle="1" w:styleId="34">
    <w:name w:val="文档结构图 字符"/>
    <w:link w:val="7"/>
    <w:autoRedefine/>
    <w:qFormat/>
    <w:uiPriority w:val="0"/>
    <w:rPr>
      <w:rFonts w:ascii="宋体"/>
      <w:kern w:val="2"/>
      <w:sz w:val="18"/>
      <w:szCs w:val="18"/>
    </w:rPr>
  </w:style>
  <w:style w:type="character" w:customStyle="1" w:styleId="35">
    <w:name w:val="font101"/>
    <w:autoRedefine/>
    <w:qFormat/>
    <w:uiPriority w:val="0"/>
    <w:rPr>
      <w:rFonts w:hint="eastAsia" w:ascii="宋体" w:hAnsi="宋体" w:eastAsia="宋体" w:cs="宋体"/>
      <w:color w:val="000000"/>
      <w:sz w:val="21"/>
      <w:szCs w:val="21"/>
      <w:u w:val="single"/>
    </w:rPr>
  </w:style>
  <w:style w:type="character" w:customStyle="1" w:styleId="36">
    <w:name w:val="font111"/>
    <w:autoRedefine/>
    <w:qFormat/>
    <w:uiPriority w:val="0"/>
    <w:rPr>
      <w:rFonts w:hint="default" w:ascii="Eʩ" w:hAnsi="Eʩ" w:eastAsia="Eʩ" w:cs="Eʩ"/>
      <w:color w:val="000000"/>
      <w:sz w:val="21"/>
      <w:szCs w:val="21"/>
      <w:u w:val="single"/>
    </w:rPr>
  </w:style>
  <w:style w:type="character" w:customStyle="1" w:styleId="37">
    <w:name w:val="font31"/>
    <w:autoRedefine/>
    <w:qFormat/>
    <w:uiPriority w:val="0"/>
    <w:rPr>
      <w:rFonts w:hint="eastAsia" w:ascii="宋体" w:hAnsi="宋体" w:eastAsia="宋体" w:cs="宋体"/>
      <w:color w:val="000000"/>
      <w:sz w:val="21"/>
      <w:szCs w:val="21"/>
      <w:u w:val="none"/>
    </w:rPr>
  </w:style>
  <w:style w:type="character" w:customStyle="1" w:styleId="38">
    <w:name w:val="批注主题 字符"/>
    <w:link w:val="23"/>
    <w:autoRedefine/>
    <w:qFormat/>
    <w:uiPriority w:val="0"/>
    <w:rPr>
      <w:b/>
      <w:bCs/>
      <w:kern w:val="2"/>
      <w:sz w:val="21"/>
      <w:szCs w:val="24"/>
    </w:rPr>
  </w:style>
  <w:style w:type="character" w:customStyle="1" w:styleId="39">
    <w:name w:val="标题 1 字符"/>
    <w:link w:val="2"/>
    <w:autoRedefine/>
    <w:qFormat/>
    <w:uiPriority w:val="0"/>
    <w:rPr>
      <w:b/>
      <w:bCs/>
      <w:kern w:val="44"/>
      <w:sz w:val="44"/>
      <w:szCs w:val="44"/>
    </w:rPr>
  </w:style>
  <w:style w:type="paragraph" w:customStyle="1" w:styleId="40">
    <w:name w:val="正文1"/>
    <w:autoRedefine/>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autoRedefine/>
    <w:qFormat/>
    <w:uiPriority w:val="0"/>
    <w:pPr>
      <w:spacing w:line="400" w:lineRule="exact"/>
      <w:ind w:firstLine="200" w:firstLineChars="200"/>
    </w:pPr>
    <w:rPr>
      <w:rFonts w:cs="宋体"/>
      <w:sz w:val="24"/>
    </w:rPr>
  </w:style>
  <w:style w:type="paragraph" w:customStyle="1" w:styleId="42">
    <w:name w:val="样式"/>
    <w:autoRedefine/>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autoRedefine/>
    <w:qFormat/>
    <w:uiPriority w:val="0"/>
    <w:pPr>
      <w:spacing w:line="360" w:lineRule="auto"/>
      <w:ind w:firstLine="200" w:firstLineChars="200"/>
    </w:pPr>
  </w:style>
  <w:style w:type="character" w:customStyle="1" w:styleId="44">
    <w:name w:val="批注文字 Char1"/>
    <w:basedOn w:val="26"/>
    <w:autoRedefine/>
    <w:qFormat/>
    <w:uiPriority w:val="0"/>
    <w:rPr>
      <w:rFonts w:ascii="Times New Roman" w:hAnsi="Times New Roman" w:eastAsia="宋体" w:cs="Times New Roman"/>
      <w:szCs w:val="24"/>
    </w:rPr>
  </w:style>
  <w:style w:type="paragraph" w:customStyle="1" w:styleId="45">
    <w:name w:val="修订1"/>
    <w:autoRedefine/>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autoRedefine/>
    <w:qFormat/>
    <w:uiPriority w:val="99"/>
    <w:rPr>
      <w:kern w:val="2"/>
      <w:sz w:val="18"/>
    </w:rPr>
  </w:style>
  <w:style w:type="paragraph" w:styleId="47">
    <w:name w:val="List Paragraph"/>
    <w:basedOn w:val="1"/>
    <w:autoRedefine/>
    <w:unhideWhenUsed/>
    <w:qFormat/>
    <w:uiPriority w:val="99"/>
    <w:pPr>
      <w:ind w:firstLine="420" w:firstLineChars="200"/>
    </w:pPr>
  </w:style>
  <w:style w:type="paragraph" w:customStyle="1" w:styleId="48">
    <w:name w:val="封面标准名称"/>
    <w:autoRedefine/>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autoRedefine/>
    <w:semiHidden/>
    <w:qFormat/>
    <w:uiPriority w:val="0"/>
    <w:rPr>
      <w:kern w:val="2"/>
      <w:sz w:val="21"/>
      <w:szCs w:val="24"/>
    </w:rPr>
  </w:style>
  <w:style w:type="paragraph" w:customStyle="1" w:styleId="53">
    <w:name w:val="列表段落1"/>
    <w:basedOn w:val="1"/>
    <w:autoRedefine/>
    <w:qFormat/>
    <w:uiPriority w:val="34"/>
    <w:pPr>
      <w:spacing w:after="0" w:line="240" w:lineRule="auto"/>
      <w:ind w:firstLine="420" w:firstLineChars="200"/>
    </w:pPr>
    <w:rPr>
      <w:szCs w:val="22"/>
    </w:rPr>
  </w:style>
  <w:style w:type="paragraph" w:customStyle="1" w:styleId="54">
    <w:name w:val="修订2"/>
    <w:autoRedefine/>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autoRedefine/>
    <w:qFormat/>
    <w:uiPriority w:val="99"/>
    <w:rPr>
      <w:kern w:val="2"/>
      <w:sz w:val="18"/>
    </w:rPr>
  </w:style>
  <w:style w:type="character" w:customStyle="1" w:styleId="56">
    <w:name w:val="font81"/>
    <w:basedOn w:val="26"/>
    <w:autoRedefine/>
    <w:qFormat/>
    <w:uiPriority w:val="0"/>
    <w:rPr>
      <w:rFonts w:ascii="Arial" w:hAnsi="Arial" w:cs="Arial"/>
      <w:color w:val="000000"/>
      <w:sz w:val="21"/>
      <w:szCs w:val="21"/>
      <w:u w:val="none"/>
    </w:rPr>
  </w:style>
  <w:style w:type="character" w:customStyle="1" w:styleId="57">
    <w:name w:val="font11"/>
    <w:basedOn w:val="26"/>
    <w:autoRedefine/>
    <w:qFormat/>
    <w:uiPriority w:val="0"/>
    <w:rPr>
      <w:rFonts w:hint="eastAsia" w:ascii="宋体" w:hAnsi="宋体" w:eastAsia="宋体" w:cs="宋体"/>
      <w:color w:val="000000"/>
      <w:sz w:val="21"/>
      <w:szCs w:val="21"/>
      <w:u w:val="none"/>
    </w:rPr>
  </w:style>
  <w:style w:type="character" w:customStyle="1" w:styleId="58">
    <w:name w:val="font61"/>
    <w:basedOn w:val="2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1195</Words>
  <Characters>6815</Characters>
  <Lines>56</Lines>
  <Paragraphs>15</Paragraphs>
  <TotalTime>94</TotalTime>
  <ScaleCrop>false</ScaleCrop>
  <LinksUpToDate>false</LinksUpToDate>
  <CharactersWithSpaces>7995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2024-04-07T02:22:27Z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D9217C831AAD4C548720E1446B2C94A0_13</vt:lpwstr>
  </property>
  <property fmtid="{D5CDD505-2E9C-101B-9397-08002B2CF9AE}" pid="4" name="commondata">
    <vt:lpwstr>eyJoZGlkIjoiNGM3MDdhODc5OWI4YTU5N2EzNThhM2JkN2M1MGI3NmEifQ==</vt:lpwstr>
  </property>
</Properties>
</file>