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4</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2</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酶标分析仪、酶标洗板机</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3</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一台酶标洗板机和酶标分析仪</w:t>
      </w:r>
      <w:r>
        <w:rPr>
          <w:rFonts w:hint="eastAsia" w:ascii="仿宋" w:hAnsi="仿宋" w:eastAsia="仿宋" w:cs="宋体"/>
          <w:sz w:val="24"/>
        </w:rPr>
        <w:t>，用于仁寿县</w:t>
      </w:r>
      <w:r>
        <w:rPr>
          <w:rFonts w:hint="eastAsia" w:ascii="仿宋" w:hAnsi="仿宋" w:eastAsia="仿宋" w:cs="宋体"/>
          <w:sz w:val="24"/>
          <w:lang w:val="en-US" w:eastAsia="zh-CN"/>
        </w:rPr>
        <w:t>疾控中心</w:t>
      </w:r>
      <w:r>
        <w:rPr>
          <w:rFonts w:hint="eastAsia" w:ascii="仿宋" w:hAnsi="仿宋" w:eastAsia="仿宋" w:cs="宋体"/>
          <w:sz w:val="24"/>
          <w:lang w:eastAsia="zh-CN"/>
        </w:rPr>
        <w:t>。</w:t>
      </w:r>
      <w:r>
        <w:rPr>
          <w:rFonts w:hint="eastAsia" w:ascii="仿宋" w:hAnsi="仿宋" w:eastAsia="仿宋" w:cs="宋体"/>
          <w:sz w:val="24"/>
          <w:lang w:val="en-US" w:eastAsia="zh-CN"/>
        </w:rPr>
        <w:t>供应商可选择其中一个或者多个设备报价。</w:t>
      </w:r>
      <w:r>
        <w:rPr>
          <w:rFonts w:hint="eastAsia" w:ascii="仿宋" w:hAnsi="仿宋" w:eastAsia="仿宋" w:cs="宋体"/>
          <w:sz w:val="24"/>
        </w:rPr>
        <w:t>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4</w:t>
      </w:r>
      <w:r>
        <w:rPr>
          <w:rFonts w:hint="eastAsia" w:ascii="仿宋" w:hAnsi="仿宋" w:eastAsia="仿宋"/>
          <w:b/>
          <w:sz w:val="24"/>
        </w:rPr>
        <w:t>000</w:t>
      </w:r>
      <w:r>
        <w:rPr>
          <w:rFonts w:hint="eastAsia" w:ascii="仿宋" w:hAnsi="仿宋" w:eastAsia="仿宋"/>
          <w:b/>
          <w:sz w:val="24"/>
          <w:lang w:val="en-US" w:eastAsia="zh-CN"/>
        </w:rPr>
        <w:t>2</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酶标分析仪、酶标洗板机</w:t>
      </w:r>
      <w:r>
        <w:rPr>
          <w:rFonts w:hint="eastAsia" w:ascii="仿宋" w:hAnsi="仿宋" w:eastAsia="仿宋"/>
          <w:b/>
          <w:sz w:val="24"/>
        </w:rPr>
        <w:t>采购项目。</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3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1441"/>
        <w:gridCol w:w="862"/>
        <w:gridCol w:w="2209"/>
        <w:gridCol w:w="2209"/>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2"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733"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438"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1124" w:type="pct"/>
            <w:vAlign w:val="center"/>
          </w:tcPr>
          <w:p>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型号</w:t>
            </w:r>
          </w:p>
        </w:tc>
        <w:tc>
          <w:tcPr>
            <w:tcW w:w="1124"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生产厂家</w:t>
            </w:r>
          </w:p>
        </w:tc>
        <w:tc>
          <w:tcPr>
            <w:tcW w:w="1124"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52"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733"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酶标分析仪</w:t>
            </w:r>
          </w:p>
        </w:tc>
        <w:tc>
          <w:tcPr>
            <w:tcW w:w="438"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1台</w:t>
            </w:r>
          </w:p>
        </w:tc>
        <w:tc>
          <w:tcPr>
            <w:tcW w:w="1124" w:type="pct"/>
            <w:vAlign w:val="center"/>
          </w:tcPr>
          <w:p>
            <w:pPr>
              <w:spacing w:line="400" w:lineRule="exact"/>
              <w:jc w:val="center"/>
              <w:rPr>
                <w:rFonts w:hint="default" w:ascii="仿宋" w:hAnsi="仿宋" w:eastAsia="仿宋" w:cs="仿宋"/>
                <w:bCs/>
                <w:szCs w:val="21"/>
                <w:lang w:val="en-US" w:eastAsia="zh-CN"/>
              </w:rPr>
            </w:pPr>
            <w:r>
              <w:rPr>
                <w:rFonts w:hint="default" w:ascii="仿宋" w:hAnsi="仿宋" w:eastAsia="仿宋" w:cs="仿宋"/>
                <w:bCs/>
                <w:szCs w:val="21"/>
                <w:lang w:val="en-US" w:eastAsia="zh-CN"/>
              </w:rPr>
              <w:t>PHOMO 型</w:t>
            </w:r>
          </w:p>
        </w:tc>
        <w:tc>
          <w:tcPr>
            <w:tcW w:w="1124"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郑州安图</w:t>
            </w:r>
          </w:p>
        </w:tc>
        <w:tc>
          <w:tcPr>
            <w:tcW w:w="1124" w:type="pct"/>
            <w:vMerge w:val="restar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报价含8台联想ThinkPad  I7-13700H 32G 1TB 07CD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52"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02-01</w:t>
            </w:r>
          </w:p>
        </w:tc>
        <w:tc>
          <w:tcPr>
            <w:tcW w:w="733" w:type="pct"/>
            <w:vAlign w:val="center"/>
          </w:tcPr>
          <w:p>
            <w:pPr>
              <w:spacing w:line="400" w:lineRule="exact"/>
              <w:jc w:val="center"/>
              <w:rPr>
                <w:rFonts w:hint="eastAsia" w:ascii="仿宋" w:hAnsi="仿宋" w:eastAsia="仿宋" w:cs="仿宋"/>
                <w:bCs/>
                <w:szCs w:val="21"/>
              </w:rPr>
            </w:pPr>
            <w:r>
              <w:rPr>
                <w:rFonts w:hint="eastAsia" w:ascii="仿宋" w:hAnsi="仿宋" w:eastAsia="仿宋" w:cs="仿宋"/>
                <w:bCs/>
                <w:szCs w:val="21"/>
              </w:rPr>
              <w:t>酶标洗板机</w:t>
            </w:r>
          </w:p>
        </w:tc>
        <w:tc>
          <w:tcPr>
            <w:tcW w:w="438"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1台</w:t>
            </w:r>
          </w:p>
        </w:tc>
        <w:tc>
          <w:tcPr>
            <w:tcW w:w="1124" w:type="pct"/>
            <w:vAlign w:val="center"/>
          </w:tcPr>
          <w:p>
            <w:pPr>
              <w:spacing w:line="400" w:lineRule="exact"/>
              <w:jc w:val="center"/>
              <w:rPr>
                <w:rFonts w:hint="eastAsia" w:ascii="仿宋" w:hAnsi="仿宋" w:eastAsia="仿宋" w:cs="仿宋"/>
                <w:bCs/>
                <w:szCs w:val="21"/>
              </w:rPr>
            </w:pPr>
            <w:r>
              <w:rPr>
                <w:rFonts w:hint="eastAsia" w:ascii="仿宋" w:hAnsi="仿宋" w:eastAsia="仿宋" w:cs="仿宋"/>
                <w:bCs/>
                <w:szCs w:val="21"/>
                <w:lang w:val="en-US" w:eastAsia="zh-CN"/>
              </w:rPr>
              <w:t>iW0-960</w:t>
            </w:r>
          </w:p>
        </w:tc>
        <w:tc>
          <w:tcPr>
            <w:tcW w:w="1124" w:type="pct"/>
            <w:vAlign w:val="center"/>
          </w:tcPr>
          <w:p>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郑州安图</w:t>
            </w:r>
          </w:p>
        </w:tc>
        <w:tc>
          <w:tcPr>
            <w:tcW w:w="1124" w:type="pct"/>
            <w:vMerge w:val="continue"/>
            <w:tcBorders/>
            <w:vAlign w:val="center"/>
          </w:tcPr>
          <w:p>
            <w:pPr>
              <w:spacing w:line="400" w:lineRule="exact"/>
              <w:jc w:val="center"/>
              <w:rPr>
                <w:rFonts w:hint="eastAsia" w:ascii="仿宋" w:hAnsi="仿宋" w:eastAsia="仿宋" w:cs="仿宋"/>
                <w:bCs/>
                <w:szCs w:val="21"/>
                <w:lang w:val="en-US" w:eastAsia="zh-CN"/>
              </w:rPr>
            </w:pP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480"/>
        <w:rPr>
          <w:rFonts w:ascii="仿宋" w:hAnsi="仿宋" w:eastAsia="仿宋" w:cs="宋体"/>
          <w:sz w:val="24"/>
        </w:rPr>
      </w:pPr>
      <w:r>
        <w:rPr>
          <w:rFonts w:hint="eastAsia" w:ascii="仿宋" w:hAnsi="仿宋" w:eastAsia="仿宋" w:cs="宋体"/>
          <w:sz w:val="24"/>
        </w:rPr>
        <w:t>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4</w:t>
      </w:r>
      <w:r>
        <w:rPr>
          <w:rFonts w:hint="eastAsia" w:ascii="仿宋" w:hAnsi="仿宋" w:eastAsia="仿宋"/>
          <w:sz w:val="24"/>
        </w:rPr>
        <w:t>年</w:t>
      </w:r>
      <w:r>
        <w:rPr>
          <w:rFonts w:hint="eastAsia" w:ascii="仿宋" w:hAnsi="仿宋" w:eastAsia="仿宋"/>
          <w:sz w:val="24"/>
          <w:lang w:val="en-US" w:eastAsia="zh-CN"/>
        </w:rPr>
        <w:t>3</w:t>
      </w:r>
      <w:r>
        <w:rPr>
          <w:rFonts w:hint="eastAsia" w:ascii="仿宋" w:hAnsi="仿宋" w:eastAsia="仿宋"/>
          <w:sz w:val="24"/>
        </w:rPr>
        <w:t>月</w:t>
      </w:r>
      <w:r>
        <w:rPr>
          <w:rFonts w:hint="eastAsia" w:ascii="仿宋" w:hAnsi="仿宋" w:eastAsia="仿宋"/>
          <w:sz w:val="24"/>
          <w:lang w:val="en-US" w:eastAsia="zh-CN"/>
        </w:rPr>
        <w:t>29</w:t>
      </w:r>
      <w:r>
        <w:rPr>
          <w:rFonts w:hint="eastAsia" w:ascii="仿宋" w:hAnsi="仿宋" w:eastAsia="仿宋"/>
          <w:sz w:val="24"/>
        </w:rPr>
        <w:t>日12:00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人：代老师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7446031"/>
      <w:bookmarkStart w:id="14" w:name="_Toc213397009"/>
      <w:bookmarkStart w:id="15" w:name="_Toc213396945"/>
      <w:bookmarkStart w:id="16" w:name="_Toc213496267"/>
      <w:bookmarkStart w:id="17" w:name="_Toc213396759"/>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签订合同后10</w:t>
            </w:r>
            <w:r>
              <w:rPr>
                <w:rFonts w:hint="eastAsia" w:ascii="仿宋" w:hAnsi="仿宋" w:eastAsia="仿宋"/>
                <w:szCs w:val="21"/>
              </w:rPr>
              <w:t>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Pr>
        <w:rPr>
          <w:rFonts w:hint="eastAsia"/>
        </w:rPr>
      </w:pPr>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10</w:t>
      </w:r>
      <w:r>
        <w:rPr>
          <w:rFonts w:hint="eastAsia" w:ascii="仿宋" w:hAnsi="仿宋" w:eastAsia="仿宋"/>
          <w:bCs/>
          <w:sz w:val="24"/>
        </w:rPr>
        <w:t>日内交货。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w:t>
      </w:r>
      <w:r>
        <w:rPr>
          <w:rFonts w:hint="eastAsia" w:ascii="仿宋" w:hAnsi="仿宋" w:eastAsia="仿宋"/>
          <w:szCs w:val="21"/>
          <w:lang w:val="en-US" w:eastAsia="zh-CN"/>
        </w:rPr>
        <w:t>签订合同后10</w:t>
      </w:r>
      <w:r>
        <w:rPr>
          <w:rFonts w:hint="eastAsia" w:ascii="仿宋" w:hAnsi="仿宋" w:eastAsia="仿宋"/>
          <w:szCs w:val="21"/>
        </w:rPr>
        <w:t>天内支付100%货款</w:t>
      </w:r>
      <w:r>
        <w:rPr>
          <w:rFonts w:hint="eastAsia" w:ascii="仿宋" w:hAnsi="仿宋" w:eastAsia="仿宋"/>
          <w:bCs/>
          <w:sz w:val="24"/>
        </w:rPr>
        <w:t>，乙方</w:t>
      </w:r>
      <w:r>
        <w:rPr>
          <w:rFonts w:hint="eastAsia" w:ascii="仿宋" w:hAnsi="仿宋" w:eastAsia="仿宋"/>
          <w:bCs/>
          <w:sz w:val="24"/>
          <w:lang w:val="en-US" w:eastAsia="zh-CN"/>
        </w:rPr>
        <w:t>30日内</w:t>
      </w:r>
      <w:r>
        <w:rPr>
          <w:rFonts w:hint="eastAsia" w:ascii="仿宋" w:hAnsi="仿宋" w:eastAsia="仿宋"/>
          <w:bCs/>
          <w:sz w:val="24"/>
        </w:rPr>
        <w:t>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3.1整机质保不低于1年</w:t>
      </w:r>
      <w:r>
        <w:rPr>
          <w:rFonts w:hint="eastAsia" w:ascii="仿宋" w:hAnsi="仿宋" w:eastAsia="仿宋"/>
          <w:bCs/>
          <w:sz w:val="24"/>
          <w:lang w:eastAsia="zh-CN"/>
        </w:rPr>
        <w:t>，</w:t>
      </w:r>
      <w:r>
        <w:rPr>
          <w:rFonts w:hint="eastAsia" w:ascii="仿宋" w:hAnsi="仿宋" w:eastAsia="仿宋"/>
          <w:bCs/>
          <w:sz w:val="24"/>
          <w:lang w:val="en-US" w:eastAsia="zh-CN"/>
        </w:rPr>
        <w:t>质保期内</w:t>
      </w:r>
      <w:bookmarkStart w:id="34" w:name="_GoBack"/>
      <w:bookmarkEnd w:id="34"/>
      <w:r>
        <w:rPr>
          <w:rFonts w:hint="eastAsia" w:ascii="仿宋" w:hAnsi="仿宋" w:eastAsia="仿宋"/>
          <w:bCs/>
          <w:sz w:val="24"/>
          <w:lang w:eastAsia="zh-CN"/>
        </w:rPr>
        <w:t>免费保养</w:t>
      </w:r>
      <w:r>
        <w:rPr>
          <w:rFonts w:hint="eastAsia" w:ascii="仿宋" w:hAnsi="仿宋" w:eastAsia="仿宋"/>
          <w:bCs/>
          <w:sz w:val="24"/>
        </w:rPr>
        <w:t>；</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pStyle w:val="43"/>
        <w:spacing w:line="420" w:lineRule="exact"/>
        <w:ind w:firstLine="600" w:firstLineChars="250"/>
        <w:rPr>
          <w:rFonts w:hint="eastAsia" w:ascii="仿宋" w:hAnsi="仿宋" w:eastAsia="仿宋" w:cs="宋体"/>
          <w:sz w:val="24"/>
          <w:lang w:val="en-US" w:eastAsia="zh-CN"/>
        </w:rPr>
      </w:pPr>
      <w:r>
        <w:rPr>
          <w:rFonts w:hint="eastAsia" w:ascii="仿宋" w:hAnsi="仿宋" w:eastAsia="仿宋"/>
          <w:sz w:val="24"/>
        </w:rPr>
        <w:t>8.</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r>
        <w:rPr>
          <w:rFonts w:hint="eastAsia" w:ascii="仿宋" w:hAnsi="仿宋" w:eastAsia="仿宋" w:cs="宋体"/>
          <w:sz w:val="24"/>
          <w:lang w:eastAsia="zh-CN"/>
        </w:rPr>
        <w:t>（</w:t>
      </w:r>
      <w:r>
        <w:rPr>
          <w:rFonts w:hint="eastAsia" w:ascii="仿宋" w:hAnsi="仿宋" w:eastAsia="仿宋" w:cs="宋体"/>
          <w:sz w:val="24"/>
          <w:lang w:val="en-US" w:eastAsia="zh-CN"/>
        </w:rPr>
        <w:t>中标后签订合同前提供</w:t>
      </w:r>
      <w:r>
        <w:rPr>
          <w:rFonts w:hint="eastAsia" w:ascii="仿宋" w:hAnsi="仿宋" w:eastAsia="仿宋" w:cs="宋体"/>
          <w:sz w:val="24"/>
          <w:lang w:eastAsia="zh-CN"/>
        </w:rPr>
        <w:t>）</w:t>
      </w:r>
    </w:p>
    <w:p>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bookmarkEnd w:id="33"/>
    <w:p>
      <w:pPr>
        <w:widowControl/>
        <w:spacing w:line="360" w:lineRule="atLeast"/>
        <w:jc w:val="left"/>
        <w:rPr>
          <w:rFonts w:hint="default" w:ascii="仿宋" w:hAnsi="仿宋" w:eastAsia="仿宋"/>
          <w:sz w:val="21"/>
          <w:szCs w:val="21"/>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A532A"/>
    <w:rsid w:val="016B3CA6"/>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43417F"/>
    <w:rsid w:val="11C22947"/>
    <w:rsid w:val="11C96F3F"/>
    <w:rsid w:val="1308440F"/>
    <w:rsid w:val="13404493"/>
    <w:rsid w:val="135607B7"/>
    <w:rsid w:val="13A4001D"/>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2F479FD"/>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0E6AED"/>
    <w:rsid w:val="2E917FC7"/>
    <w:rsid w:val="2EA20CC8"/>
    <w:rsid w:val="2EB1759E"/>
    <w:rsid w:val="2EE72320"/>
    <w:rsid w:val="2EE8455C"/>
    <w:rsid w:val="2F590507"/>
    <w:rsid w:val="2F7B047E"/>
    <w:rsid w:val="2FC414F3"/>
    <w:rsid w:val="2FE60929"/>
    <w:rsid w:val="2FF058D0"/>
    <w:rsid w:val="30D70117"/>
    <w:rsid w:val="30E42F09"/>
    <w:rsid w:val="31274B61"/>
    <w:rsid w:val="314B29C9"/>
    <w:rsid w:val="31922776"/>
    <w:rsid w:val="31B441AF"/>
    <w:rsid w:val="32A81084"/>
    <w:rsid w:val="32D70991"/>
    <w:rsid w:val="32E2005E"/>
    <w:rsid w:val="33B2679E"/>
    <w:rsid w:val="33DC14FA"/>
    <w:rsid w:val="342A14CE"/>
    <w:rsid w:val="34F34C56"/>
    <w:rsid w:val="357339A5"/>
    <w:rsid w:val="357A5788"/>
    <w:rsid w:val="360308BC"/>
    <w:rsid w:val="36147632"/>
    <w:rsid w:val="36530971"/>
    <w:rsid w:val="36561BAE"/>
    <w:rsid w:val="36610C56"/>
    <w:rsid w:val="366B24CA"/>
    <w:rsid w:val="36A125F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5E701C3"/>
    <w:rsid w:val="46024FFD"/>
    <w:rsid w:val="466F5A98"/>
    <w:rsid w:val="46886E13"/>
    <w:rsid w:val="46C1077C"/>
    <w:rsid w:val="46CE0949"/>
    <w:rsid w:val="476756F9"/>
    <w:rsid w:val="47756B56"/>
    <w:rsid w:val="478F3EA7"/>
    <w:rsid w:val="47AD3F78"/>
    <w:rsid w:val="482B5C12"/>
    <w:rsid w:val="484713ED"/>
    <w:rsid w:val="490948F4"/>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531153"/>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D1070A"/>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A2087C"/>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autoRedefine/>
    <w:qFormat/>
    <w:uiPriority w:val="0"/>
    <w:pPr>
      <w:ind w:left="2520" w:leftChars="1200"/>
    </w:pPr>
  </w:style>
  <w:style w:type="paragraph" w:styleId="6">
    <w:name w:val="Normal Indent"/>
    <w:basedOn w:val="1"/>
    <w:autoRedefine/>
    <w:qFormat/>
    <w:uiPriority w:val="0"/>
    <w:pPr>
      <w:ind w:firstLine="200" w:firstLineChars="200"/>
    </w:pPr>
  </w:style>
  <w:style w:type="paragraph" w:styleId="7">
    <w:name w:val="Document Map"/>
    <w:basedOn w:val="1"/>
    <w:link w:val="34"/>
    <w:autoRedefine/>
    <w:qFormat/>
    <w:uiPriority w:val="0"/>
    <w:rPr>
      <w:rFonts w:ascii="宋体"/>
      <w:sz w:val="18"/>
      <w:szCs w:val="18"/>
    </w:rPr>
  </w:style>
  <w:style w:type="paragraph" w:styleId="8">
    <w:name w:val="annotation text"/>
    <w:basedOn w:val="1"/>
    <w:link w:val="32"/>
    <w:autoRedefine/>
    <w:qFormat/>
    <w:uiPriority w:val="0"/>
    <w:pPr>
      <w:jc w:val="left"/>
    </w:pPr>
  </w:style>
  <w:style w:type="paragraph" w:styleId="9">
    <w:name w:val="Body Text"/>
    <w:basedOn w:val="1"/>
    <w:link w:val="52"/>
    <w:autoRedefine/>
    <w:semiHidden/>
    <w:unhideWhenUsed/>
    <w:qFormat/>
    <w:uiPriority w:val="0"/>
    <w:pPr>
      <w:spacing w:after="120"/>
    </w:pPr>
  </w:style>
  <w:style w:type="paragraph" w:styleId="10">
    <w:name w:val="Body Text Indent"/>
    <w:basedOn w:val="1"/>
    <w:autoRedefine/>
    <w:qFormat/>
    <w:uiPriority w:val="0"/>
    <w:pPr>
      <w:ind w:firstLine="630"/>
    </w:pPr>
    <w:rPr>
      <w:sz w:val="32"/>
      <w:szCs w:val="20"/>
    </w:rPr>
  </w:style>
  <w:style w:type="paragraph" w:styleId="11">
    <w:name w:val="toc 5"/>
    <w:basedOn w:val="1"/>
    <w:next w:val="1"/>
    <w:autoRedefine/>
    <w:qFormat/>
    <w:uiPriority w:val="0"/>
    <w:pPr>
      <w:ind w:left="1680" w:leftChars="800"/>
    </w:pPr>
  </w:style>
  <w:style w:type="paragraph" w:styleId="12">
    <w:name w:val="toc 3"/>
    <w:basedOn w:val="1"/>
    <w:next w:val="1"/>
    <w:autoRedefine/>
    <w:qFormat/>
    <w:uiPriority w:val="0"/>
    <w:pPr>
      <w:ind w:left="840" w:leftChars="400"/>
    </w:pPr>
  </w:style>
  <w:style w:type="paragraph" w:styleId="13">
    <w:name w:val="toc 8"/>
    <w:basedOn w:val="1"/>
    <w:next w:val="1"/>
    <w:autoRedefine/>
    <w:qFormat/>
    <w:uiPriority w:val="0"/>
    <w:pPr>
      <w:ind w:left="2940" w:leftChars="1400"/>
    </w:pPr>
  </w:style>
  <w:style w:type="paragraph" w:styleId="14">
    <w:name w:val="Balloon Text"/>
    <w:basedOn w:val="1"/>
    <w:link w:val="31"/>
    <w:autoRedefine/>
    <w:qFormat/>
    <w:uiPriority w:val="0"/>
    <w:rPr>
      <w:sz w:val="18"/>
      <w:szCs w:val="18"/>
    </w:rPr>
  </w:style>
  <w:style w:type="paragraph" w:styleId="15">
    <w:name w:val="footer"/>
    <w:basedOn w:val="1"/>
    <w:link w:val="46"/>
    <w:autoRedefine/>
    <w:qFormat/>
    <w:uiPriority w:val="99"/>
    <w:pPr>
      <w:tabs>
        <w:tab w:val="center" w:pos="4153"/>
        <w:tab w:val="right" w:pos="8306"/>
      </w:tabs>
      <w:snapToGrid w:val="0"/>
      <w:jc w:val="left"/>
    </w:pPr>
    <w:rPr>
      <w:sz w:val="18"/>
      <w:szCs w:val="20"/>
    </w:rPr>
  </w:style>
  <w:style w:type="paragraph" w:styleId="16">
    <w:name w:val="header"/>
    <w:basedOn w:val="1"/>
    <w:link w:val="55"/>
    <w:autoRedefine/>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39"/>
  </w:style>
  <w:style w:type="paragraph" w:styleId="18">
    <w:name w:val="toc 4"/>
    <w:basedOn w:val="1"/>
    <w:next w:val="1"/>
    <w:autoRedefine/>
    <w:qFormat/>
    <w:uiPriority w:val="0"/>
    <w:pPr>
      <w:ind w:left="1260" w:leftChars="600"/>
    </w:pPr>
  </w:style>
  <w:style w:type="paragraph" w:styleId="19">
    <w:name w:val="toc 6"/>
    <w:basedOn w:val="1"/>
    <w:next w:val="1"/>
    <w:autoRedefine/>
    <w:qFormat/>
    <w:uiPriority w:val="0"/>
    <w:pPr>
      <w:ind w:left="2100" w:leftChars="1000"/>
    </w:pPr>
  </w:style>
  <w:style w:type="paragraph" w:styleId="20">
    <w:name w:val="toc 2"/>
    <w:basedOn w:val="1"/>
    <w:next w:val="1"/>
    <w:autoRedefine/>
    <w:qFormat/>
    <w:uiPriority w:val="0"/>
    <w:pPr>
      <w:ind w:left="420" w:leftChars="200"/>
    </w:pPr>
  </w:style>
  <w:style w:type="paragraph" w:styleId="21">
    <w:name w:val="toc 9"/>
    <w:basedOn w:val="1"/>
    <w:next w:val="1"/>
    <w:autoRedefine/>
    <w:qFormat/>
    <w:uiPriority w:val="0"/>
    <w:pPr>
      <w:ind w:left="3360" w:leftChars="1600"/>
    </w:pPr>
  </w:style>
  <w:style w:type="paragraph" w:styleId="22">
    <w:name w:val="Normal (Web)"/>
    <w:basedOn w:val="1"/>
    <w:autoRedefine/>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autoRedefine/>
    <w:qFormat/>
    <w:uiPriority w:val="0"/>
    <w:rPr>
      <w:b/>
      <w:bCs/>
    </w:rPr>
  </w:style>
  <w:style w:type="table" w:styleId="25">
    <w:name w:val="Table Grid"/>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autoRedefine/>
    <w:qFormat/>
    <w:uiPriority w:val="0"/>
  </w:style>
  <w:style w:type="character" w:styleId="28">
    <w:name w:val="FollowedHyperlink"/>
    <w:basedOn w:val="26"/>
    <w:autoRedefine/>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autoRedefine/>
    <w:unhideWhenUsed/>
    <w:qFormat/>
    <w:uiPriority w:val="99"/>
    <w:rPr>
      <w:color w:val="0563C1" w:themeColor="hyperlink"/>
      <w:u w:val="single"/>
      <w14:textFill>
        <w14:solidFill>
          <w14:schemeClr w14:val="hlink"/>
        </w14:solidFill>
      </w14:textFill>
    </w:rPr>
  </w:style>
  <w:style w:type="character" w:styleId="30">
    <w:name w:val="annotation reference"/>
    <w:autoRedefine/>
    <w:qFormat/>
    <w:uiPriority w:val="99"/>
    <w:rPr>
      <w:sz w:val="21"/>
      <w:szCs w:val="21"/>
    </w:rPr>
  </w:style>
  <w:style w:type="character" w:customStyle="1" w:styleId="31">
    <w:name w:val="批注框文本 字符"/>
    <w:link w:val="14"/>
    <w:autoRedefine/>
    <w:qFormat/>
    <w:uiPriority w:val="0"/>
    <w:rPr>
      <w:kern w:val="2"/>
      <w:sz w:val="18"/>
      <w:szCs w:val="18"/>
    </w:rPr>
  </w:style>
  <w:style w:type="character" w:customStyle="1" w:styleId="32">
    <w:name w:val="批注文字 字符"/>
    <w:link w:val="8"/>
    <w:autoRedefine/>
    <w:qFormat/>
    <w:uiPriority w:val="0"/>
    <w:rPr>
      <w:kern w:val="2"/>
      <w:sz w:val="21"/>
      <w:szCs w:val="24"/>
    </w:rPr>
  </w:style>
  <w:style w:type="character" w:customStyle="1" w:styleId="33">
    <w:name w:val="font91"/>
    <w:autoRedefine/>
    <w:qFormat/>
    <w:uiPriority w:val="0"/>
    <w:rPr>
      <w:rFonts w:hint="eastAsia" w:ascii="宋体" w:hAnsi="宋体" w:eastAsia="宋体" w:cs="宋体"/>
      <w:color w:val="FF0000"/>
      <w:sz w:val="21"/>
      <w:szCs w:val="21"/>
      <w:u w:val="single"/>
    </w:rPr>
  </w:style>
  <w:style w:type="character" w:customStyle="1" w:styleId="34">
    <w:name w:val="文档结构图 字符"/>
    <w:link w:val="7"/>
    <w:autoRedefine/>
    <w:qFormat/>
    <w:uiPriority w:val="0"/>
    <w:rPr>
      <w:rFonts w:ascii="宋体"/>
      <w:kern w:val="2"/>
      <w:sz w:val="18"/>
      <w:szCs w:val="18"/>
    </w:rPr>
  </w:style>
  <w:style w:type="character" w:customStyle="1" w:styleId="35">
    <w:name w:val="font101"/>
    <w:autoRedefine/>
    <w:qFormat/>
    <w:uiPriority w:val="0"/>
    <w:rPr>
      <w:rFonts w:hint="eastAsia" w:ascii="宋体" w:hAnsi="宋体" w:eastAsia="宋体" w:cs="宋体"/>
      <w:color w:val="000000"/>
      <w:sz w:val="21"/>
      <w:szCs w:val="21"/>
      <w:u w:val="single"/>
    </w:rPr>
  </w:style>
  <w:style w:type="character" w:customStyle="1" w:styleId="36">
    <w:name w:val="font111"/>
    <w:autoRedefine/>
    <w:qFormat/>
    <w:uiPriority w:val="0"/>
    <w:rPr>
      <w:rFonts w:hint="default" w:ascii="Eʩ" w:hAnsi="Eʩ" w:eastAsia="Eʩ" w:cs="Eʩ"/>
      <w:color w:val="000000"/>
      <w:sz w:val="21"/>
      <w:szCs w:val="21"/>
      <w:u w:val="single"/>
    </w:rPr>
  </w:style>
  <w:style w:type="character" w:customStyle="1" w:styleId="37">
    <w:name w:val="font31"/>
    <w:autoRedefine/>
    <w:qFormat/>
    <w:uiPriority w:val="0"/>
    <w:rPr>
      <w:rFonts w:hint="eastAsia" w:ascii="宋体" w:hAnsi="宋体" w:eastAsia="宋体" w:cs="宋体"/>
      <w:color w:val="000000"/>
      <w:sz w:val="21"/>
      <w:szCs w:val="21"/>
      <w:u w:val="none"/>
    </w:rPr>
  </w:style>
  <w:style w:type="character" w:customStyle="1" w:styleId="38">
    <w:name w:val="批注主题 字符"/>
    <w:link w:val="23"/>
    <w:autoRedefine/>
    <w:qFormat/>
    <w:uiPriority w:val="0"/>
    <w:rPr>
      <w:b/>
      <w:bCs/>
      <w:kern w:val="2"/>
      <w:sz w:val="21"/>
      <w:szCs w:val="24"/>
    </w:rPr>
  </w:style>
  <w:style w:type="character" w:customStyle="1" w:styleId="39">
    <w:name w:val="标题 1 字符"/>
    <w:link w:val="2"/>
    <w:autoRedefine/>
    <w:qFormat/>
    <w:uiPriority w:val="0"/>
    <w:rPr>
      <w:b/>
      <w:bCs/>
      <w:kern w:val="44"/>
      <w:sz w:val="44"/>
      <w:szCs w:val="44"/>
    </w:rPr>
  </w:style>
  <w:style w:type="paragraph" w:customStyle="1" w:styleId="40">
    <w:name w:val="正文1"/>
    <w:autoRedefine/>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autoRedefine/>
    <w:qFormat/>
    <w:uiPriority w:val="0"/>
    <w:pPr>
      <w:spacing w:line="400" w:lineRule="exact"/>
      <w:ind w:firstLine="200" w:firstLineChars="200"/>
    </w:pPr>
    <w:rPr>
      <w:rFonts w:cs="宋体"/>
      <w:sz w:val="24"/>
    </w:rPr>
  </w:style>
  <w:style w:type="paragraph" w:customStyle="1" w:styleId="42">
    <w:name w:val="样式"/>
    <w:autoRedefine/>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autoRedefine/>
    <w:qFormat/>
    <w:uiPriority w:val="0"/>
    <w:pPr>
      <w:spacing w:line="360" w:lineRule="auto"/>
      <w:ind w:firstLine="200" w:firstLineChars="200"/>
    </w:pPr>
  </w:style>
  <w:style w:type="character" w:customStyle="1" w:styleId="44">
    <w:name w:val="批注文字 Char1"/>
    <w:basedOn w:val="26"/>
    <w:autoRedefine/>
    <w:qFormat/>
    <w:uiPriority w:val="0"/>
    <w:rPr>
      <w:rFonts w:ascii="Times New Roman" w:hAnsi="Times New Roman" w:eastAsia="宋体" w:cs="Times New Roman"/>
      <w:szCs w:val="24"/>
    </w:rPr>
  </w:style>
  <w:style w:type="paragraph" w:customStyle="1" w:styleId="45">
    <w:name w:val="修订1"/>
    <w:autoRedefine/>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autoRedefine/>
    <w:qFormat/>
    <w:uiPriority w:val="99"/>
    <w:rPr>
      <w:kern w:val="2"/>
      <w:sz w:val="18"/>
    </w:rPr>
  </w:style>
  <w:style w:type="paragraph" w:styleId="47">
    <w:name w:val="List Paragraph"/>
    <w:basedOn w:val="1"/>
    <w:autoRedefine/>
    <w:unhideWhenUsed/>
    <w:qFormat/>
    <w:uiPriority w:val="99"/>
    <w:pPr>
      <w:ind w:firstLine="420" w:firstLineChars="200"/>
    </w:pPr>
  </w:style>
  <w:style w:type="paragraph" w:customStyle="1" w:styleId="48">
    <w:name w:val="封面标准名称"/>
    <w:autoRedefine/>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autoRedefine/>
    <w:semiHidden/>
    <w:qFormat/>
    <w:uiPriority w:val="0"/>
    <w:rPr>
      <w:kern w:val="2"/>
      <w:sz w:val="21"/>
      <w:szCs w:val="24"/>
    </w:rPr>
  </w:style>
  <w:style w:type="paragraph" w:customStyle="1" w:styleId="53">
    <w:name w:val="列表段落1"/>
    <w:basedOn w:val="1"/>
    <w:autoRedefine/>
    <w:qFormat/>
    <w:uiPriority w:val="34"/>
    <w:pPr>
      <w:spacing w:after="0" w:line="240" w:lineRule="auto"/>
      <w:ind w:firstLine="420" w:firstLineChars="200"/>
    </w:pPr>
    <w:rPr>
      <w:szCs w:val="22"/>
    </w:rPr>
  </w:style>
  <w:style w:type="paragraph" w:customStyle="1" w:styleId="54">
    <w:name w:val="修订2"/>
    <w:autoRedefine/>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autoRedefine/>
    <w:qFormat/>
    <w:uiPriority w:val="99"/>
    <w:rPr>
      <w:kern w:val="2"/>
      <w:sz w:val="18"/>
    </w:rPr>
  </w:style>
  <w:style w:type="character" w:customStyle="1" w:styleId="56">
    <w:name w:val="font81"/>
    <w:basedOn w:val="26"/>
    <w:autoRedefine/>
    <w:qFormat/>
    <w:uiPriority w:val="0"/>
    <w:rPr>
      <w:rFonts w:ascii="Arial" w:hAnsi="Arial" w:cs="Arial"/>
      <w:color w:val="000000"/>
      <w:sz w:val="21"/>
      <w:szCs w:val="21"/>
      <w:u w:val="none"/>
    </w:rPr>
  </w:style>
  <w:style w:type="character" w:customStyle="1" w:styleId="57">
    <w:name w:val="font11"/>
    <w:basedOn w:val="26"/>
    <w:autoRedefine/>
    <w:qFormat/>
    <w:uiPriority w:val="0"/>
    <w:rPr>
      <w:rFonts w:hint="eastAsia" w:ascii="宋体" w:hAnsi="宋体" w:eastAsia="宋体" w:cs="宋体"/>
      <w:color w:val="000000"/>
      <w:sz w:val="21"/>
      <w:szCs w:val="21"/>
      <w:u w:val="none"/>
    </w:rPr>
  </w:style>
  <w:style w:type="character" w:customStyle="1" w:styleId="58">
    <w:name w:val="font61"/>
    <w:basedOn w:val="26"/>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1195</Words>
  <Characters>6815</Characters>
  <Lines>56</Lines>
  <Paragraphs>15</Paragraphs>
  <TotalTime>2</TotalTime>
  <ScaleCrop>false</ScaleCrop>
  <LinksUpToDate>false</LinksUpToDate>
  <CharactersWithSpaces>7995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2024-03-26T01:06:18Z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D9217C831AAD4C548720E1446B2C94A0_13</vt:lpwstr>
  </property>
  <property fmtid="{D5CDD505-2E9C-101B-9397-08002B2CF9AE}" pid="4" name="commondata">
    <vt:lpwstr>eyJoZGlkIjoiNGM3MDdhODc5OWI4YTU5N2EzNThhM2JkN2M1MGI3NmEifQ==</vt:lpwstr>
  </property>
</Properties>
</file>